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016EF" w14:textId="77777777" w:rsidR="00D31442" w:rsidRDefault="00D31442" w:rsidP="00D31442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>ԱՄՓՈՓԱԹԵՐԹ</w:t>
      </w:r>
    </w:p>
    <w:p w14:paraId="269CCB6F" w14:textId="412F9AED" w:rsidR="00D31442" w:rsidRPr="003C14DF" w:rsidRDefault="00D31442" w:rsidP="00D31442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3C14DF">
        <w:rPr>
          <w:rFonts w:ascii="GHEA Grapalat" w:hAnsi="GHEA Grapalat"/>
          <w:b/>
          <w:bCs/>
          <w:sz w:val="24"/>
          <w:szCs w:val="24"/>
          <w:lang w:val="hy-AM"/>
        </w:rPr>
        <w:t xml:space="preserve">ՀՀ բարձր տեխնոլոգիական արդյունաբերության նախարարության </w:t>
      </w:r>
      <w:r w:rsidRPr="003C14DF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իրավասության ներքո գտնվող ոլորտներում շահագրգիռ քաղաքացիական </w:t>
      </w:r>
      <w:r w:rsidR="00E56B1E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հասարակության </w:t>
      </w:r>
      <w:r w:rsidRPr="003C14DF">
        <w:rPr>
          <w:rFonts w:ascii="GHEA Grapalat" w:eastAsia="Times New Roman" w:hAnsi="GHEA Grapalat"/>
          <w:b/>
          <w:bCs/>
          <w:sz w:val="24"/>
          <w:szCs w:val="24"/>
          <w:lang w:val="hy-AM"/>
        </w:rPr>
        <w:t>կազմակերպությունների  հետ  ՄԺԾԾ նախագծի (ներառյալ՝ ՀՀ 202</w:t>
      </w:r>
      <w:r w:rsidR="00E74A20" w:rsidRPr="00E74A20">
        <w:rPr>
          <w:rFonts w:ascii="GHEA Grapalat" w:eastAsia="Times New Roman" w:hAnsi="GHEA Grapalat"/>
          <w:b/>
          <w:bCs/>
          <w:sz w:val="24"/>
          <w:szCs w:val="24"/>
          <w:lang w:val="hy-AM"/>
        </w:rPr>
        <w:t>5</w:t>
      </w:r>
      <w:r w:rsidRPr="003C14DF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 թվականի պետական բյուջեի) մշակման աշխատանքների շրջանակներում բյուջետային հայտերի շուրջ </w:t>
      </w:r>
      <w:r w:rsidR="00A446B1">
        <w:rPr>
          <w:rFonts w:ascii="GHEA Grapalat" w:eastAsia="Times New Roman" w:hAnsi="GHEA Grapalat"/>
          <w:b/>
          <w:bCs/>
          <w:sz w:val="24"/>
          <w:szCs w:val="24"/>
          <w:lang w:val="hy-AM"/>
        </w:rPr>
        <w:t xml:space="preserve">կատարված </w:t>
      </w:r>
      <w:r w:rsidRPr="003C14DF">
        <w:rPr>
          <w:rFonts w:ascii="GHEA Grapalat" w:eastAsia="Times New Roman" w:hAnsi="GHEA Grapalat"/>
          <w:b/>
          <w:bCs/>
          <w:sz w:val="24"/>
          <w:szCs w:val="24"/>
          <w:lang w:val="hy-AM"/>
        </w:rPr>
        <w:t>քննարկումների արդյունքների վերաբերյալ</w:t>
      </w:r>
    </w:p>
    <w:tbl>
      <w:tblPr>
        <w:tblStyle w:val="TableGrid"/>
        <w:tblW w:w="10350" w:type="dxa"/>
        <w:tblInd w:w="-275" w:type="dxa"/>
        <w:tblLook w:val="04A0" w:firstRow="1" w:lastRow="0" w:firstColumn="1" w:lastColumn="0" w:noHBand="0" w:noVBand="1"/>
      </w:tblPr>
      <w:tblGrid>
        <w:gridCol w:w="5850"/>
        <w:gridCol w:w="4500"/>
      </w:tblGrid>
      <w:tr w:rsidR="00B21587" w14:paraId="15E34504" w14:textId="77777777" w:rsidTr="00722F98">
        <w:trPr>
          <w:trHeight w:val="300"/>
        </w:trPr>
        <w:tc>
          <w:tcPr>
            <w:tcW w:w="5850" w:type="dxa"/>
            <w:vMerge w:val="restart"/>
          </w:tcPr>
          <w:p w14:paraId="387AE925" w14:textId="36332597" w:rsidR="00B21587" w:rsidRDefault="00B21587" w:rsidP="00F662AE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«Հայաստանի օպերատորների միություն» հասարակական կազմակերպություն</w:t>
            </w:r>
          </w:p>
        </w:tc>
        <w:tc>
          <w:tcPr>
            <w:tcW w:w="4500" w:type="dxa"/>
          </w:tcPr>
          <w:p w14:paraId="5E4EF393" w14:textId="0D6046EB" w:rsidR="00B21587" w:rsidRPr="00B21587" w:rsidRDefault="00B21587" w:rsidP="00F662A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B2158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29.03.202</w:t>
            </w:r>
            <w:r w:rsidR="00C749C8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B2158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</w:t>
            </w:r>
          </w:p>
        </w:tc>
      </w:tr>
      <w:tr w:rsidR="00B21587" w14:paraId="77A373D9" w14:textId="77777777" w:rsidTr="00722F98">
        <w:trPr>
          <w:trHeight w:val="375"/>
        </w:trPr>
        <w:tc>
          <w:tcPr>
            <w:tcW w:w="5850" w:type="dxa"/>
            <w:vMerge/>
          </w:tcPr>
          <w:p w14:paraId="7AACF6CB" w14:textId="77777777" w:rsidR="00B21587" w:rsidRDefault="00B21587" w:rsidP="00F662AE">
            <w:pPr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</w:tc>
        <w:tc>
          <w:tcPr>
            <w:tcW w:w="4500" w:type="dxa"/>
          </w:tcPr>
          <w:p w14:paraId="5884BF15" w14:textId="17988C79" w:rsidR="00B21587" w:rsidRPr="00B21587" w:rsidRDefault="00B21587" w:rsidP="00F662A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B21587">
              <w:rPr>
                <w:rFonts w:ascii="GHEA Grapalat" w:hAnsi="GHEA Grapalat"/>
                <w:b/>
                <w:bCs/>
                <w:sz w:val="24"/>
                <w:szCs w:val="24"/>
              </w:rPr>
              <w:t xml:space="preserve">N </w:t>
            </w:r>
            <w:r w:rsidR="00C749C8">
              <w:rPr>
                <w:rFonts w:ascii="GHEA Grapalat" w:hAnsi="GHEA Grapalat"/>
                <w:b/>
                <w:bCs/>
                <w:sz w:val="24"/>
                <w:szCs w:val="24"/>
              </w:rPr>
              <w:t>69.03</w:t>
            </w:r>
            <w:r w:rsidRPr="00B21587">
              <w:rPr>
                <w:rFonts w:ascii="GHEA Grapalat" w:hAnsi="GHEA Grapalat"/>
                <w:b/>
                <w:bCs/>
                <w:sz w:val="24"/>
                <w:szCs w:val="24"/>
              </w:rPr>
              <w:t>/2</w:t>
            </w:r>
            <w:r w:rsidR="00C749C8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</w:p>
        </w:tc>
      </w:tr>
      <w:tr w:rsidR="00E24FA9" w14:paraId="409FC2AC" w14:textId="77777777" w:rsidTr="00722F98">
        <w:tc>
          <w:tcPr>
            <w:tcW w:w="5850" w:type="dxa"/>
          </w:tcPr>
          <w:p w14:paraId="60102D91" w14:textId="77777777" w:rsidR="00C749C8" w:rsidRDefault="00C749C8" w:rsidP="00C749C8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ind w:right="-1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Ի պատասխան Ձեր 22.03.2024թ. թիվ 04/11.1/2736-2204 գրության՝ 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ՀՀ բարձր տեխնոլոգիական արդյունաբերության նախարարության 2025-2027 թվականների միջնաժամկետ ծախսային ծրագրի և 2025 թվականի բյուջետային ֆինանսավորման կապի և հեռահաղորդակցության ոլորտի հայտի վերաբերյալ հայտնում ենք, որ «Հայաստանի օպերատորների միություն» ՀԿ, ողջունում է ծրագրում նշված ոլորտի բարելավման ուղղված աշխատանքները և հայտնում, որ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դիտարկումներ չկան:</w:t>
            </w:r>
          </w:p>
          <w:p w14:paraId="4ADB7289" w14:textId="77777777" w:rsidR="00E24FA9" w:rsidRDefault="00E24FA9" w:rsidP="00C749C8">
            <w:pPr>
              <w:tabs>
                <w:tab w:val="left" w:pos="5940"/>
                <w:tab w:val="left" w:pos="6300"/>
                <w:tab w:val="left" w:pos="6660"/>
                <w:tab w:val="left" w:pos="7380"/>
              </w:tabs>
              <w:ind w:right="-1"/>
              <w:jc w:val="both"/>
              <w:rPr>
                <w:lang w:val="hy-AM"/>
              </w:rPr>
            </w:pPr>
          </w:p>
        </w:tc>
        <w:tc>
          <w:tcPr>
            <w:tcW w:w="4500" w:type="dxa"/>
          </w:tcPr>
          <w:p w14:paraId="5FC5C191" w14:textId="245E008E" w:rsidR="00E24FA9" w:rsidRPr="00B628BD" w:rsidRDefault="00B21587" w:rsidP="00B2158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B628BD">
              <w:rPr>
                <w:rFonts w:ascii="GHEA Grapalat" w:hAnsi="GHEA Grapalat"/>
                <w:sz w:val="24"/>
                <w:szCs w:val="24"/>
                <w:lang w:val="hy-AM"/>
              </w:rPr>
              <w:t>Ընդունվել է:</w:t>
            </w:r>
          </w:p>
        </w:tc>
      </w:tr>
      <w:tr w:rsidR="00E24FA9" w14:paraId="4F0A919C" w14:textId="77777777" w:rsidTr="00722F98">
        <w:tc>
          <w:tcPr>
            <w:tcW w:w="5850" w:type="dxa"/>
          </w:tcPr>
          <w:p w14:paraId="4BFC2902" w14:textId="462B5706" w:rsidR="00E24FA9" w:rsidRPr="00302D49" w:rsidRDefault="00937E50" w:rsidP="00302D49">
            <w:pPr>
              <w:jc w:val="center"/>
              <w:rPr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«Հայաստանի օպերատորների միություն» ՀԿ</w:t>
            </w:r>
            <w:r w:rsidRPr="00216C07">
              <w:rPr>
                <w:rFonts w:ascii="GHEA Grapalat" w:hAnsi="GHEA Grapalat"/>
                <w:b/>
                <w:sz w:val="24"/>
                <w:szCs w:val="24"/>
                <w:lang w:val="hy-AM"/>
              </w:rPr>
              <w:t>,</w:t>
            </w:r>
            <w:r w:rsidRPr="00302D4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«</w:t>
            </w:r>
            <w:r w:rsidRPr="00302D4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Ինժեներական ասոցիացիա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» ՀԿ,  </w:t>
            </w:r>
            <w:r w:rsidRPr="00302D4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«</w:t>
            </w:r>
            <w:r w:rsidRPr="00302D4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Տեղեկատվական և հաղորդակցության տեխնոլոգիաների գործատուների միություն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»</w:t>
            </w:r>
            <w:r w:rsidRPr="00216C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ՀԿ</w:t>
            </w:r>
            <w:r w:rsidRPr="00302D49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,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«Առաջատար տեխնոլոգիաների ձեռնարկությունների միություն» ՀԿ,               ԱՄՆ ՄԶԳ «Տնտեսական հիմքեր՝ հանուն դիմակայուն Հայաստանի»</w:t>
            </w:r>
          </w:p>
        </w:tc>
        <w:tc>
          <w:tcPr>
            <w:tcW w:w="4500" w:type="dxa"/>
          </w:tcPr>
          <w:p w14:paraId="23BE1A7A" w14:textId="7CBB5EBC" w:rsidR="00E24FA9" w:rsidRPr="007A3007" w:rsidRDefault="00937E50" w:rsidP="007A3007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18</w:t>
            </w:r>
            <w:r w:rsidRPr="007A30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</w:t>
            </w:r>
            <w:r w:rsidRPr="007A30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</w:t>
            </w:r>
            <w:r w:rsidRPr="007A30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թ. առցանց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ձևաչափով </w:t>
            </w:r>
            <w:r w:rsidRPr="007A30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քննարկում</w:t>
            </w:r>
          </w:p>
        </w:tc>
      </w:tr>
      <w:tr w:rsidR="00E24FA9" w:rsidRPr="00AA233E" w14:paraId="3ECA8182" w14:textId="77777777" w:rsidTr="00722F98">
        <w:tc>
          <w:tcPr>
            <w:tcW w:w="5850" w:type="dxa"/>
          </w:tcPr>
          <w:p w14:paraId="7317D2ED" w14:textId="28E77C12" w:rsidR="00256120" w:rsidRPr="00D41BFB" w:rsidRDefault="00256120" w:rsidP="00256120">
            <w:pPr>
              <w:pStyle w:val="ListParagraph"/>
              <w:spacing w:after="0"/>
              <w:ind w:left="7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</w:t>
            </w: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Հաշվի առնելով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չինական</w:t>
            </w: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 xml:space="preserve"> շուկայում առկա հնարավորությունները և փոխադարձ հետաքրքր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ված</w:t>
            </w: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ությունը՝դիտարկել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Չինաստանում</w:t>
            </w: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 xml:space="preserve"> ոլորտային ցուցահանդեսների ներառումը վարչության</w:t>
            </w:r>
            <w:r w:rsidR="00744B9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>202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>-202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7</w:t>
            </w:r>
            <w:r w:rsidR="00744B90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>թվականների ծրագրերում։</w:t>
            </w:r>
          </w:p>
          <w:p w14:paraId="6380FEF6" w14:textId="77777777" w:rsidR="00E24FA9" w:rsidRDefault="00E24FA9" w:rsidP="00256120">
            <w:pPr>
              <w:pStyle w:val="ListParagraph"/>
              <w:spacing w:after="0"/>
              <w:ind w:left="75"/>
              <w:jc w:val="both"/>
              <w:rPr>
                <w:lang w:val="hy-AM"/>
              </w:rPr>
            </w:pPr>
          </w:p>
        </w:tc>
        <w:tc>
          <w:tcPr>
            <w:tcW w:w="4500" w:type="dxa"/>
          </w:tcPr>
          <w:p w14:paraId="51059208" w14:textId="77777777" w:rsidR="00256120" w:rsidRDefault="00256120" w:rsidP="00256120">
            <w:pPr>
              <w:pStyle w:val="ListParagraph"/>
              <w:spacing w:after="0"/>
              <w:ind w:left="0" w:firstLine="25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 xml:space="preserve">Առաջարկն ընդունվել է։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Նախարարության համապատասխան ստորաբաժանման կողմից </w:t>
            </w: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ուսումնասիրվում են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Չինաստանում</w:t>
            </w: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կազմակերպվող ոլորտային ցուցահանդեսները՝ դրանք 202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5 </w:t>
            </w: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>թվականի միջոցառումների ցանկում ներառելու նպատակով։</w:t>
            </w:r>
          </w:p>
          <w:p w14:paraId="66C215C8" w14:textId="77777777" w:rsidR="00E24FA9" w:rsidRDefault="00E24FA9" w:rsidP="00256120">
            <w:pPr>
              <w:pStyle w:val="ListParagraph"/>
              <w:spacing w:after="0"/>
              <w:ind w:left="0" w:firstLine="256"/>
              <w:jc w:val="center"/>
              <w:rPr>
                <w:lang w:val="hy-AM"/>
              </w:rPr>
            </w:pPr>
          </w:p>
        </w:tc>
      </w:tr>
      <w:tr w:rsidR="00493DD2" w:rsidRPr="00AA233E" w14:paraId="373454AC" w14:textId="77777777" w:rsidTr="00722F98">
        <w:tc>
          <w:tcPr>
            <w:tcW w:w="5850" w:type="dxa"/>
          </w:tcPr>
          <w:p w14:paraId="61F49A58" w14:textId="20C5B851" w:rsidR="00493DD2" w:rsidRDefault="00493DD2" w:rsidP="00493DD2">
            <w:pPr>
              <w:pStyle w:val="ListParagraph"/>
              <w:spacing w:after="0"/>
              <w:ind w:left="7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517DA">
              <w:rPr>
                <w:rFonts w:ascii="GHEA Grapalat" w:hAnsi="GHEA Grapalat"/>
                <w:sz w:val="24"/>
                <w:szCs w:val="24"/>
                <w:lang w:val="hy-AM"/>
              </w:rPr>
              <w:t xml:space="preserve">Նկատի ունենալով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հայրենական ոլորտային ընկերությունների հնդկական շուկայով  </w:t>
            </w: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հետաքրքր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ված</w:t>
            </w: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>ությունը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 ինչպես նաև հնդկական շուկայում դիրքավորվելու ռազմավարական նշանակությունը Հայաստանի Հանրապետության և մասնավորապես բարձր տեխնոլոգիական ոլորտի համար՝ դիտարկել Հնդկաստանի հետ գործարար կապերի խորացման հնարավորությունները:</w:t>
            </w:r>
          </w:p>
        </w:tc>
        <w:tc>
          <w:tcPr>
            <w:tcW w:w="4500" w:type="dxa"/>
          </w:tcPr>
          <w:p w14:paraId="5C3CB665" w14:textId="77777777" w:rsidR="00493DD2" w:rsidRDefault="00493DD2" w:rsidP="00493DD2">
            <w:pPr>
              <w:pStyle w:val="ListParagraph"/>
              <w:spacing w:after="0"/>
              <w:ind w:left="7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>Առաջարկն ընդունվել է։</w:t>
            </w:r>
          </w:p>
          <w:p w14:paraId="202E18A9" w14:textId="77777777" w:rsidR="00493DD2" w:rsidRDefault="00493DD2" w:rsidP="00493DD2">
            <w:pPr>
              <w:pStyle w:val="ListParagraph"/>
              <w:spacing w:after="0"/>
              <w:ind w:left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Նախարարության համապատասխան ստորաբաժանման կողմից </w:t>
            </w: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 xml:space="preserve">ուսումնասիրվում են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ինչպես Հնդկաստանում</w:t>
            </w: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անցկացվող</w:t>
            </w: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 xml:space="preserve"> ցուցահանդեսները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, այնպես էլ գործարար կապերի հաստատմանը նպաստող այլ միջոցառումներ:</w:t>
            </w:r>
          </w:p>
          <w:p w14:paraId="7FD205C5" w14:textId="77777777" w:rsidR="00493DD2" w:rsidRPr="00D41BFB" w:rsidRDefault="00493DD2" w:rsidP="00493DD2">
            <w:pPr>
              <w:pStyle w:val="ListParagraph"/>
              <w:spacing w:after="0"/>
              <w:ind w:left="0" w:firstLine="25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EE59FB" w:rsidRPr="00AA233E" w14:paraId="55377329" w14:textId="77777777" w:rsidTr="00722F98">
        <w:tc>
          <w:tcPr>
            <w:tcW w:w="5850" w:type="dxa"/>
          </w:tcPr>
          <w:p w14:paraId="128FDE47" w14:textId="7F481D64" w:rsidR="00EE59FB" w:rsidRPr="006517DA" w:rsidRDefault="00EE59FB" w:rsidP="00EE59FB">
            <w:pPr>
              <w:pStyle w:val="ListParagraph"/>
              <w:spacing w:after="0"/>
              <w:ind w:left="7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 </w:t>
            </w:r>
            <w:r w:rsidRPr="0073742D">
              <w:rPr>
                <w:rFonts w:ascii="GHEA Grapalat" w:hAnsi="GHEA Grapalat"/>
                <w:sz w:val="24"/>
                <w:szCs w:val="24"/>
                <w:lang w:val="hy-AM"/>
              </w:rPr>
              <w:t>Ոլորտային</w:t>
            </w:r>
            <w:r w:rsidRPr="00EE59FB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73742D">
              <w:rPr>
                <w:rFonts w:ascii="GHEA Grapalat" w:hAnsi="GHEA Grapalat"/>
                <w:sz w:val="24"/>
                <w:szCs w:val="24"/>
                <w:lang w:val="hy-AM"/>
              </w:rPr>
              <w:t xml:space="preserve">իությունների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ներկայացուցիչներն առաջարկեցին հարցում իրականացնել իրենց ընկերությունների շրջանում՝ գնահատելու ընկերությունների կողմից թիրախավորված միջոցառումները և ըստ այդմ էլ՝ տեղերոշելու համապատասխան շուկաները, որտեղ հայկական ոլորտային ընկերությունները կկարողանան ձևավորել միջազգային համագործակցությունների շրջանակ և բարձր արդյունավետությամբ իրականացնել պրոդուկտների և ծառայությունների վաճառք:</w:t>
            </w:r>
          </w:p>
        </w:tc>
        <w:tc>
          <w:tcPr>
            <w:tcW w:w="4500" w:type="dxa"/>
          </w:tcPr>
          <w:p w14:paraId="7BC9BA49" w14:textId="77777777" w:rsidR="00EE59FB" w:rsidRDefault="00EE59FB" w:rsidP="00EE59FB">
            <w:pPr>
              <w:pStyle w:val="ListParagraph"/>
              <w:spacing w:after="0"/>
              <w:ind w:left="7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>Առաջարկն ընդունվել է։</w:t>
            </w:r>
          </w:p>
          <w:p w14:paraId="04FC7C22" w14:textId="77777777" w:rsidR="00EE59FB" w:rsidRPr="00D31442" w:rsidRDefault="00EE59FB" w:rsidP="00EE59FB">
            <w:pPr>
              <w:jc w:val="center"/>
              <w:rPr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Արդյունքների մասին լրացուցիչ կտեղեկացվի:</w:t>
            </w:r>
          </w:p>
          <w:p w14:paraId="344EFC72" w14:textId="77777777" w:rsidR="00EE59FB" w:rsidRPr="00D41BFB" w:rsidRDefault="00EE59FB" w:rsidP="00EE59FB">
            <w:pPr>
              <w:pStyle w:val="ListParagraph"/>
              <w:spacing w:after="0"/>
              <w:ind w:left="7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84F53" w:rsidRPr="00E807FC" w14:paraId="6CD3A3EC" w14:textId="77777777" w:rsidTr="00722F98">
        <w:tc>
          <w:tcPr>
            <w:tcW w:w="5850" w:type="dxa"/>
          </w:tcPr>
          <w:p w14:paraId="6ACFF197" w14:textId="2D9B5006" w:rsidR="00084F53" w:rsidRDefault="00084F53" w:rsidP="00084F53">
            <w:pPr>
              <w:pStyle w:val="ListParagraph"/>
              <w:spacing w:after="0"/>
              <w:ind w:left="75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  Ապահովելու համար ՀՀ բարձր տեխնոլոգիական արդյունաբերության նախարարության  և ո</w:t>
            </w:r>
            <w:r w:rsidRPr="0073742D">
              <w:rPr>
                <w:rFonts w:ascii="GHEA Grapalat" w:hAnsi="GHEA Grapalat"/>
                <w:sz w:val="24"/>
                <w:szCs w:val="24"/>
                <w:lang w:val="hy-AM"/>
              </w:rPr>
              <w:t xml:space="preserve">լորտային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73742D">
              <w:rPr>
                <w:rFonts w:ascii="GHEA Grapalat" w:hAnsi="GHEA Grapalat"/>
                <w:sz w:val="24"/>
                <w:szCs w:val="24"/>
                <w:lang w:val="hy-AM"/>
              </w:rPr>
              <w:t>իությունների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միջև արագ կապը՝ առաջարկվեց ստեղծել տելեգրամյան տեղեկատվական խումբ, որտեղ կտեղադրվեն ինչպես նախարարության, այնպես էլ ո</w:t>
            </w:r>
            <w:r w:rsidRPr="0073742D">
              <w:rPr>
                <w:rFonts w:ascii="GHEA Grapalat" w:hAnsi="GHEA Grapalat"/>
                <w:sz w:val="24"/>
                <w:szCs w:val="24"/>
                <w:lang w:val="hy-AM"/>
              </w:rPr>
              <w:t xml:space="preserve">լորտային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</w:t>
            </w:r>
            <w:r w:rsidRPr="0073742D">
              <w:rPr>
                <w:rFonts w:ascii="GHEA Grapalat" w:hAnsi="GHEA Grapalat"/>
                <w:sz w:val="24"/>
                <w:szCs w:val="24"/>
                <w:lang w:val="hy-AM"/>
              </w:rPr>
              <w:t>իությունների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կողմից իրականացվող միջոցառումները՝ ըստ պատկանելիության տեղեկացնելու նպատակով:</w:t>
            </w:r>
          </w:p>
        </w:tc>
        <w:tc>
          <w:tcPr>
            <w:tcW w:w="4500" w:type="dxa"/>
          </w:tcPr>
          <w:p w14:paraId="3A59D0FE" w14:textId="77777777" w:rsidR="00084F53" w:rsidRDefault="00084F53" w:rsidP="00084F53">
            <w:pPr>
              <w:pStyle w:val="ListParagraph"/>
              <w:spacing w:after="0"/>
              <w:ind w:left="7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>Առաջարկն ընդունվել է։</w:t>
            </w:r>
          </w:p>
          <w:p w14:paraId="46740AEB" w14:textId="77777777" w:rsidR="00084F53" w:rsidRPr="00D41BFB" w:rsidRDefault="00084F53" w:rsidP="00084F53">
            <w:pPr>
              <w:pStyle w:val="ListParagraph"/>
              <w:spacing w:after="0"/>
              <w:ind w:left="7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2A7CDE" w:rsidRPr="00E807FC" w14:paraId="52B69D35" w14:textId="77777777" w:rsidTr="00722F98">
        <w:tc>
          <w:tcPr>
            <w:tcW w:w="5850" w:type="dxa"/>
          </w:tcPr>
          <w:p w14:paraId="43ECE207" w14:textId="2499CE06" w:rsidR="002A7CDE" w:rsidRDefault="00E51CC1" w:rsidP="00E51CC1">
            <w:pPr>
              <w:pStyle w:val="ListParagraph"/>
              <w:spacing w:after="0"/>
              <w:ind w:left="75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«Հայաստանի տեղեկատվական համակարգերի գործակալություն» հիմնադրամ</w:t>
            </w:r>
          </w:p>
        </w:tc>
        <w:tc>
          <w:tcPr>
            <w:tcW w:w="4500" w:type="dxa"/>
          </w:tcPr>
          <w:p w14:paraId="71A7F032" w14:textId="4D2021DF" w:rsidR="002A7CDE" w:rsidRPr="00751AFD" w:rsidRDefault="00751AFD" w:rsidP="00084F53">
            <w:pPr>
              <w:pStyle w:val="ListParagraph"/>
              <w:spacing w:after="0"/>
              <w:ind w:left="76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751AF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քննարկում 11.03.2024թ. </w:t>
            </w:r>
          </w:p>
        </w:tc>
      </w:tr>
      <w:tr w:rsidR="00E51CC1" w:rsidRPr="00023BC2" w14:paraId="0CD9DF44" w14:textId="77777777" w:rsidTr="00722F98">
        <w:tc>
          <w:tcPr>
            <w:tcW w:w="5850" w:type="dxa"/>
          </w:tcPr>
          <w:p w14:paraId="49A508D0" w14:textId="77777777" w:rsidR="00023BC2" w:rsidRDefault="00023BC2" w:rsidP="00023BC2">
            <w:pPr>
              <w:spacing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Քննարկվել է թվայնացման վարչության 2025-2027թթ. բյուջետային հայտը՝ «Թվային փոխակերպման գործընթացի իրականացում»:</w:t>
            </w:r>
          </w:p>
          <w:p w14:paraId="5B4FFEB5" w14:textId="77777777" w:rsidR="00023BC2" w:rsidRDefault="00023BC2" w:rsidP="00023BC2">
            <w:pPr>
              <w:spacing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Մանրամասն ուսումնասիրվել է հայտի նպատակը, նկարագրությունը, արդյունքային ցուցանիշները, ակնկալվող արդյունքները, սպասվող օգուտները:</w:t>
            </w:r>
          </w:p>
          <w:p w14:paraId="26EB5C38" w14:textId="77777777" w:rsidR="00023BC2" w:rsidRDefault="00023BC2" w:rsidP="00023BC2">
            <w:pPr>
              <w:spacing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lastRenderedPageBreak/>
              <w:t>Թվային փոխակերպման նախագծերի միասնականության ապահովման տեսանկյունից կարևորվել է ֆինանսավորման կենտրոնացումը:</w:t>
            </w:r>
          </w:p>
          <w:p w14:paraId="2E3D8A7D" w14:textId="77777777" w:rsidR="00023BC2" w:rsidRDefault="00023BC2" w:rsidP="00023BC2">
            <w:pPr>
              <w:spacing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Կարևորվել է թվային փոխակերպման նախաձեռնությունների ֆինանսավորման ձևաչափի իրավական հիմքերի ստեղծումը՝ կարգի մշակումը:</w:t>
            </w:r>
          </w:p>
          <w:p w14:paraId="37CBCDB2" w14:textId="64C036D6" w:rsidR="00E51CC1" w:rsidRDefault="00023BC2" w:rsidP="00023BC2">
            <w:pPr>
              <w:pStyle w:val="ListParagraph"/>
              <w:spacing w:after="0"/>
              <w:ind w:left="75"/>
              <w:jc w:val="both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Նախաձեռնությունների ֆինանսավորման տեսանկյունից կարևոր է առաջնահերթ դիտարկել դրանց համապատասխանությունը </w:t>
            </w:r>
            <w:r w:rsidRPr="00A04AC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Հայաս</w:t>
            </w: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տանի թվային ճարտարապետությանը</w:t>
            </w:r>
            <w:r w:rsidR="00751AFD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:</w:t>
            </w:r>
          </w:p>
        </w:tc>
        <w:tc>
          <w:tcPr>
            <w:tcW w:w="4500" w:type="dxa"/>
          </w:tcPr>
          <w:p w14:paraId="080B4467" w14:textId="398198ED" w:rsidR="00587D77" w:rsidRDefault="00587D77" w:rsidP="00587D77">
            <w:pPr>
              <w:pStyle w:val="ListParagraph"/>
              <w:spacing w:after="0"/>
              <w:ind w:left="7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lastRenderedPageBreak/>
              <w:t xml:space="preserve"> </w:t>
            </w:r>
            <w:r w:rsidR="00C749C8">
              <w:rPr>
                <w:rFonts w:ascii="GHEA Grapalat" w:hAnsi="GHEA Grapalat"/>
                <w:sz w:val="24"/>
                <w:szCs w:val="24"/>
                <w:lang w:val="hy-AM"/>
              </w:rPr>
              <w:t>Ը</w:t>
            </w:r>
            <w:r w:rsidRPr="00D41BFB">
              <w:rPr>
                <w:rFonts w:ascii="GHEA Grapalat" w:hAnsi="GHEA Grapalat"/>
                <w:sz w:val="24"/>
                <w:szCs w:val="24"/>
                <w:lang w:val="hy-AM"/>
              </w:rPr>
              <w:t>նդունվել է։</w:t>
            </w:r>
          </w:p>
          <w:p w14:paraId="209EF2EB" w14:textId="77777777" w:rsidR="00E51CC1" w:rsidRPr="00D41BFB" w:rsidRDefault="00E51CC1" w:rsidP="00023BC2">
            <w:pPr>
              <w:pStyle w:val="ListParagraph"/>
              <w:spacing w:after="0"/>
              <w:ind w:left="76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013F92" w:rsidRPr="00023BC2" w14:paraId="6A79CF0D" w14:textId="77777777" w:rsidTr="00722F98">
        <w:tc>
          <w:tcPr>
            <w:tcW w:w="5850" w:type="dxa"/>
          </w:tcPr>
          <w:p w14:paraId="4DA54747" w14:textId="77777777" w:rsidR="00013F92" w:rsidRDefault="00013F92" w:rsidP="00013F92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«Հայաստանի օպերատորների միություն» ՀԿ,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«Ինժեներական ասոցիացիա» ՀԿ,   «Տեղեկատվական և հաղորդակցության տեխնոլոգիաների գործատուների միություն» ՀԿ, «Առաջատար տեխնոլոգիաների ձեռնարկությունների միություն» ՀԿ, «Հայաստանի ազգային պոլիտեխնիկական համալսարան» հիմնադրամ, «Դատա Արտ» ՍՊԸ, «Ինստիգեյթ Ռոբոտիկս» ՓԲԸ, «Դիջիթեյն» ՍՊԸ, «Սոլիտոն» ՍՊԸ</w:t>
            </w:r>
          </w:p>
          <w:p w14:paraId="76DA55CE" w14:textId="77777777" w:rsidR="00013F92" w:rsidRDefault="00013F92" w:rsidP="00023BC2">
            <w:pPr>
              <w:spacing w:line="276" w:lineRule="auto"/>
              <w:jc w:val="both"/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</w:p>
        </w:tc>
        <w:tc>
          <w:tcPr>
            <w:tcW w:w="4500" w:type="dxa"/>
          </w:tcPr>
          <w:p w14:paraId="311AC163" w14:textId="7C3E6073" w:rsidR="00013F92" w:rsidRPr="00D41BFB" w:rsidRDefault="00AE1660" w:rsidP="00587D77">
            <w:pPr>
              <w:pStyle w:val="ListParagraph"/>
              <w:spacing w:after="0"/>
              <w:ind w:left="76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18</w:t>
            </w:r>
            <w:r w:rsidRPr="007A30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3</w:t>
            </w:r>
            <w:r w:rsidRPr="007A30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.202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4</w:t>
            </w:r>
            <w:r w:rsidRPr="007A30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թ. առցանց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ձևաչափով </w:t>
            </w:r>
            <w:r w:rsidRPr="007A3007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քննարկում</w:t>
            </w:r>
          </w:p>
        </w:tc>
      </w:tr>
      <w:tr w:rsidR="00013F92" w:rsidRPr="00722F98" w14:paraId="4F72B97F" w14:textId="77777777" w:rsidTr="00722F98">
        <w:tc>
          <w:tcPr>
            <w:tcW w:w="5850" w:type="dxa"/>
          </w:tcPr>
          <w:p w14:paraId="1026C0B0" w14:textId="178C14D6" w:rsidR="00013F92" w:rsidRPr="0094692C" w:rsidRDefault="002C6C43" w:rsidP="00744B90">
            <w:pPr>
              <w:jc w:val="both"/>
              <w:rPr>
                <w:rFonts w:ascii="GHEA Grapalat" w:hAnsi="GHEA Grapalat"/>
                <w:bCs/>
                <w:sz w:val="24"/>
                <w:szCs w:val="24"/>
              </w:rPr>
            </w:pPr>
            <w:r w:rsidRPr="009469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«</w:t>
            </w:r>
            <w:r w:rsidR="00013F92" w:rsidRPr="009469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Մասնագետների</w:t>
            </w:r>
            <w:r w:rsidR="00722F98" w:rsidRPr="009469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</w:t>
            </w:r>
            <w:r w:rsidR="00013F92" w:rsidRPr="009469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պատրաստման բարձրագույն ուսումնական հաստատություններ-մասնավոր</w:t>
            </w:r>
            <w:r w:rsidRPr="009469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հատված համագործակցություն» ծրագրի </w:t>
            </w:r>
            <w:r w:rsidR="00744B90" w:rsidRPr="009469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բյուջետային հայտի քննարկում</w:t>
            </w:r>
            <w:r w:rsidR="004C53A1" w:rsidRPr="0094692C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:</w:t>
            </w:r>
          </w:p>
        </w:tc>
        <w:tc>
          <w:tcPr>
            <w:tcW w:w="4500" w:type="dxa"/>
          </w:tcPr>
          <w:p w14:paraId="39BAD463" w14:textId="74879084" w:rsidR="00013F92" w:rsidRPr="006D7AFB" w:rsidRDefault="00722F98" w:rsidP="00587D77">
            <w:pPr>
              <w:pStyle w:val="ListParagraph"/>
              <w:spacing w:after="0"/>
              <w:ind w:left="76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6D7AFB">
              <w:rPr>
                <w:rFonts w:ascii="GHEA Grapalat" w:hAnsi="GHEA Grapalat"/>
                <w:sz w:val="24"/>
                <w:szCs w:val="24"/>
                <w:lang w:val="hy-AM"/>
              </w:rPr>
              <w:t>Դիտողություններ և առաջարկություններ կազմակերպությունների</w:t>
            </w:r>
            <w:r w:rsidR="00AA233E">
              <w:rPr>
                <w:rFonts w:ascii="GHEA Grapalat" w:hAnsi="GHEA Grapalat"/>
                <w:sz w:val="24"/>
                <w:szCs w:val="24"/>
                <w:lang w:val="hy-AM"/>
              </w:rPr>
              <w:t>ց</w:t>
            </w:r>
            <w:r w:rsidRPr="006D7AFB">
              <w:rPr>
                <w:rFonts w:ascii="GHEA Grapalat" w:hAnsi="GHEA Grapalat"/>
                <w:sz w:val="24"/>
                <w:szCs w:val="24"/>
                <w:lang w:val="hy-AM"/>
              </w:rPr>
              <w:t xml:space="preserve"> չեն </w:t>
            </w:r>
            <w:r w:rsidR="00AA233E">
              <w:rPr>
                <w:rFonts w:ascii="GHEA Grapalat" w:hAnsi="GHEA Grapalat"/>
                <w:sz w:val="24"/>
                <w:szCs w:val="24"/>
                <w:lang w:val="hy-AM"/>
              </w:rPr>
              <w:t>ստացվել</w:t>
            </w:r>
            <w:r w:rsidR="006D7AFB">
              <w:rPr>
                <w:rFonts w:ascii="GHEA Grapalat" w:hAnsi="GHEA Grapalat"/>
                <w:sz w:val="24"/>
                <w:szCs w:val="24"/>
              </w:rPr>
              <w:t>:</w:t>
            </w:r>
          </w:p>
        </w:tc>
      </w:tr>
    </w:tbl>
    <w:p w14:paraId="0947B791" w14:textId="77777777" w:rsidR="0090181D" w:rsidRPr="00AA233E" w:rsidRDefault="0090181D" w:rsidP="004B7DA8"/>
    <w:sectPr w:rsidR="0090181D" w:rsidRPr="00AA233E" w:rsidSect="00493DD2">
      <w:pgSz w:w="12240" w:h="15840"/>
      <w:pgMar w:top="900" w:right="90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728D1"/>
    <w:multiLevelType w:val="hybridMultilevel"/>
    <w:tmpl w:val="31E0A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24189"/>
    <w:multiLevelType w:val="hybridMultilevel"/>
    <w:tmpl w:val="481EF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42"/>
    <w:rsid w:val="00013F92"/>
    <w:rsid w:val="00023BC2"/>
    <w:rsid w:val="00084534"/>
    <w:rsid w:val="00084F53"/>
    <w:rsid w:val="000A4967"/>
    <w:rsid w:val="0016342D"/>
    <w:rsid w:val="001A4B90"/>
    <w:rsid w:val="001D4736"/>
    <w:rsid w:val="00256120"/>
    <w:rsid w:val="00273088"/>
    <w:rsid w:val="002A7CDE"/>
    <w:rsid w:val="002C6C43"/>
    <w:rsid w:val="00302D49"/>
    <w:rsid w:val="00312250"/>
    <w:rsid w:val="00317A2A"/>
    <w:rsid w:val="00347FD6"/>
    <w:rsid w:val="003560A7"/>
    <w:rsid w:val="003C14DF"/>
    <w:rsid w:val="00453E90"/>
    <w:rsid w:val="00493DD2"/>
    <w:rsid w:val="004B7DA8"/>
    <w:rsid w:val="004C53A1"/>
    <w:rsid w:val="00535F8D"/>
    <w:rsid w:val="00564AA6"/>
    <w:rsid w:val="00587D77"/>
    <w:rsid w:val="005E1657"/>
    <w:rsid w:val="005E33F3"/>
    <w:rsid w:val="006D7AFB"/>
    <w:rsid w:val="007037A3"/>
    <w:rsid w:val="00722F98"/>
    <w:rsid w:val="00744B90"/>
    <w:rsid w:val="00751AFD"/>
    <w:rsid w:val="007A3007"/>
    <w:rsid w:val="008F5173"/>
    <w:rsid w:val="0090181D"/>
    <w:rsid w:val="00937E50"/>
    <w:rsid w:val="0094692C"/>
    <w:rsid w:val="00A03153"/>
    <w:rsid w:val="00A20642"/>
    <w:rsid w:val="00A446B1"/>
    <w:rsid w:val="00AA233E"/>
    <w:rsid w:val="00AB79B9"/>
    <w:rsid w:val="00AE1660"/>
    <w:rsid w:val="00B21587"/>
    <w:rsid w:val="00B628BD"/>
    <w:rsid w:val="00B63613"/>
    <w:rsid w:val="00BB731F"/>
    <w:rsid w:val="00C749C8"/>
    <w:rsid w:val="00CF42B6"/>
    <w:rsid w:val="00D00BA9"/>
    <w:rsid w:val="00D2159A"/>
    <w:rsid w:val="00D31442"/>
    <w:rsid w:val="00E07B84"/>
    <w:rsid w:val="00E24FA9"/>
    <w:rsid w:val="00E40405"/>
    <w:rsid w:val="00E44216"/>
    <w:rsid w:val="00E51CC1"/>
    <w:rsid w:val="00E56B1E"/>
    <w:rsid w:val="00E74A20"/>
    <w:rsid w:val="00E807FC"/>
    <w:rsid w:val="00EE59FB"/>
    <w:rsid w:val="00F662AE"/>
    <w:rsid w:val="00F94833"/>
    <w:rsid w:val="00FB37D3"/>
    <w:rsid w:val="00FF37DF"/>
    <w:rsid w:val="00FF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833F0"/>
  <w15:chartTrackingRefBased/>
  <w15:docId w15:val="{8FE1C89D-D7F4-4225-B2B5-A930F0A7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4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4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03153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 Ispiryan</dc:creator>
  <cp:keywords>https://mul2-mtc.gov.am/tasks/1090386/oneclick/bd5e86728f0f97b7e6473f6935f314346707060d2521f65957d00a07b3ce7d6b.docx?token=a4ef8fb76e1b1baff8d643111deffc37</cp:keywords>
  <dc:description/>
  <cp:lastModifiedBy>Amalya Ispiryan</cp:lastModifiedBy>
  <cp:revision>21</cp:revision>
  <dcterms:created xsi:type="dcterms:W3CDTF">2024-03-27T05:56:00Z</dcterms:created>
  <dcterms:modified xsi:type="dcterms:W3CDTF">2024-04-03T06:18:00Z</dcterms:modified>
</cp:coreProperties>
</file>